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bookmarkStart w:id="1" w:name="_GoBack"/>
      <w:bookmarkEnd w:id="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新密市尖山风景区管理委员会尖山村村民委会征收土地补偿安置方案公告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w:t>
      </w:r>
      <w:r>
        <w:rPr>
          <w:rFonts w:hint="eastAsia" w:eastAsia="仿宋_GB2312" w:cs="Times New Roman"/>
          <w:b w:val="0"/>
          <w:bCs w:val="0"/>
          <w:snapToGrid w:val="0"/>
          <w:kern w:val="0"/>
          <w:sz w:val="32"/>
          <w:szCs w:val="32"/>
          <w:lang w:val="en-US" w:eastAsia="zh-CN"/>
        </w:rPr>
        <w:t>44</w:t>
      </w:r>
      <w:r>
        <w:rPr>
          <w:rFonts w:hint="eastAsia" w:ascii="Times New Roman" w:hAnsi="Times New Roman" w:eastAsia="仿宋_GB2312" w:cs="Times New Roman"/>
          <w:b w:val="0"/>
          <w:bCs w:val="0"/>
          <w:snapToGrid w:val="0"/>
          <w:kern w:val="0"/>
          <w:sz w:val="32"/>
          <w:szCs w:val="32"/>
          <w:lang w:val="en-US" w:eastAsia="zh-CN"/>
        </w:rPr>
        <w:t>号</w:t>
      </w:r>
    </w:p>
    <w:p>
      <w:pPr>
        <w:widowControl w:val="0"/>
        <w:wordWrap/>
        <w:adjustRightInd/>
        <w:snapToGrid/>
        <w:spacing w:line="500" w:lineRule="exact"/>
        <w:ind w:left="0" w:leftChars="0" w:right="0"/>
        <w:jc w:val="center"/>
        <w:textAlignment w:val="auto"/>
        <w:outlineLvl w:val="9"/>
        <w:rPr>
          <w:rFonts w:hint="eastAsia" w:ascii="仿宋" w:hAnsi="仿宋" w:eastAsia="仿宋" w:cs="仿宋"/>
          <w:b/>
          <w:bCs/>
          <w:sz w:val="32"/>
          <w:szCs w:val="32"/>
          <w:lang w:val="en-US" w:eastAsia="zh-CN"/>
        </w:rPr>
      </w:pPr>
    </w:p>
    <w:bookmarkEnd w:id="0"/>
    <w:p>
      <w:pPr>
        <w:widowControl w:val="0"/>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仿宋_GB2312" w:hAnsi="仿宋_GB2312"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w:t>
      </w:r>
      <w:r>
        <w:rPr>
          <w:rFonts w:hint="eastAsia" w:eastAsia="仿宋_GB2312" w:cs="Times New Roman"/>
          <w:snapToGrid w:val="0"/>
          <w:kern w:val="0"/>
          <w:sz w:val="32"/>
          <w:szCs w:val="32"/>
          <w:lang w:val="en-US" w:eastAsia="zh-CN"/>
        </w:rPr>
        <w:t>尖山风景区管理委员会尖山村</w:t>
      </w:r>
      <w:r>
        <w:rPr>
          <w:rFonts w:hint="eastAsia" w:ascii="Times New Roman" w:hAnsi="Times New Roman" w:eastAsia="仿宋_GB2312" w:cs="Times New Roman"/>
          <w:snapToGrid w:val="0"/>
          <w:kern w:val="0"/>
          <w:sz w:val="32"/>
          <w:szCs w:val="32"/>
          <w:lang w:val="en-US" w:eastAsia="zh-CN"/>
        </w:rPr>
        <w:t>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被征收土地的权属、面积、位置和用途</w:t>
      </w:r>
    </w:p>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总面积</w:t>
            </w:r>
          </w:p>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80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0.0265</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仿宋" w:hAnsi="仿宋" w:eastAsia="仿宋" w:cs="仿宋"/>
                <w:sz w:val="36"/>
                <w:szCs w:val="36"/>
                <w:lang w:val="en-US" w:eastAsia="zh-CN"/>
              </w:rPr>
            </w:pPr>
            <w:r>
              <w:rPr>
                <w:rFonts w:hint="eastAsia" w:ascii="黑体" w:hAnsi="黑体" w:eastAsia="黑体" w:cs="黑体"/>
                <w:sz w:val="21"/>
                <w:szCs w:val="21"/>
                <w:lang w:val="en-US" w:eastAsia="zh-CN"/>
              </w:rPr>
              <w:t>位于崖以东、土岭以南、村道以西、白泰华农宅以北。</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商业用地</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1950"/>
        <w:gridCol w:w="1815"/>
        <w:gridCol w:w="1650"/>
        <w:gridCol w:w="1605"/>
        <w:gridCol w:w="1710"/>
      </w:tblGrid>
      <w:tr>
        <w:trPr>
          <w:trHeight w:val="358" w:hRule="atLeast"/>
        </w:trPr>
        <w:tc>
          <w:tcPr>
            <w:tcW w:w="4957"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被征地单位</w:t>
            </w:r>
          </w:p>
        </w:tc>
        <w:tc>
          <w:tcPr>
            <w:tcW w:w="195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地类名称</w:t>
            </w:r>
          </w:p>
        </w:tc>
        <w:tc>
          <w:tcPr>
            <w:tcW w:w="181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eastAsia="zh-CN"/>
              </w:rPr>
              <w:t>（公顷）</w:t>
            </w:r>
          </w:p>
        </w:tc>
        <w:tc>
          <w:tcPr>
            <w:tcW w:w="325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征地区片综合地价</w:t>
            </w:r>
          </w:p>
        </w:tc>
        <w:tc>
          <w:tcPr>
            <w:tcW w:w="171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r>
      <w:tr>
        <w:trPr>
          <w:trHeight w:val="567" w:hRule="atLeast"/>
        </w:trPr>
        <w:tc>
          <w:tcPr>
            <w:tcW w:w="4957"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95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81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50" w:type="dxa"/>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605" w:type="dxa"/>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社保费用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71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670" w:hRule="atLeast"/>
        </w:trPr>
        <w:tc>
          <w:tcPr>
            <w:tcW w:w="4957"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尖山风景区管理委员会尖山村村民委会</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城镇村及工矿用地</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0.0265</w:t>
            </w:r>
          </w:p>
        </w:tc>
        <w:tc>
          <w:tcPr>
            <w:tcW w:w="165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69.7500</w:t>
            </w:r>
          </w:p>
        </w:tc>
        <w:tc>
          <w:tcPr>
            <w:tcW w:w="16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87.3000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r>
        <w:trPr>
          <w:trHeight w:val="665" w:hRule="atLeast"/>
        </w:trPr>
        <w:tc>
          <w:tcPr>
            <w:tcW w:w="69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0.0265</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default" w:eastAsia="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484"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合计</w:t>
            </w:r>
          </w:p>
        </w:tc>
      </w:tr>
      <w:tr>
        <w:trPr>
          <w:trHeight w:val="740"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黑体" w:hAnsi="黑体" w:eastAsia="黑体" w:cs="黑体"/>
                <w:sz w:val="21"/>
                <w:szCs w:val="21"/>
                <w:lang w:eastAsia="zh-CN"/>
              </w:rPr>
              <w:t>尖山风景区管理委员会尖山村村民委会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1.8484</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2.3135</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4.1619</w:t>
            </w:r>
          </w:p>
        </w:tc>
      </w:tr>
    </w:tbl>
    <w:p>
      <w:pPr>
        <w:widowControl w:val="0"/>
        <w:wordWrap/>
        <w:adjustRightInd/>
        <w:snapToGrid/>
        <w:spacing w:line="390" w:lineRule="exact"/>
        <w:ind w:left="0" w:leftChars="0" w:right="0"/>
        <w:jc w:val="center"/>
        <w:textAlignment w:val="auto"/>
        <w:outlineLvl w:val="9"/>
        <w:rPr>
          <w:rFonts w:hint="default" w:ascii="黑体" w:hAnsi="黑体" w:eastAsia="黑体" w:cs="黑体"/>
          <w:sz w:val="21"/>
          <w:szCs w:val="21"/>
        </w:rPr>
      </w:pPr>
      <w:r>
        <w:rPr>
          <w:rFonts w:hint="eastAsia" w:ascii="黑体" w:hAnsi="黑体" w:eastAsia="黑体" w:cs="黑体"/>
          <w:sz w:val="21"/>
          <w:szCs w:val="21"/>
          <w:lang w:val="en-US" w:eastAsia="zh-CN"/>
        </w:rPr>
        <w:t xml:space="preserve">                                                                                                          </w:t>
      </w:r>
      <w:r>
        <w:rPr>
          <w:rFonts w:hint="default" w:ascii="黑体" w:hAnsi="黑体"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黑体" w:hAnsi="黑体"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eastAsia="仿宋_GB2312" w:cs="Times New Roman"/>
          <w:sz w:val="32"/>
          <w:lang w:val="en-US" w:eastAsia="zh-CN"/>
        </w:rPr>
        <w:t>尖山风景区管理委员会尖山村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2020年10月21日        </w:t>
      </w:r>
    </w:p>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2020-10-20T13:15:00Z</cp:lastPrinted>
  <dcterms:modified xsi:type="dcterms:W3CDTF">2020-10-20T13:18:37Z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