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00" w:lineRule="exact"/>
        <w:ind w:left="0" w:leftChars="0" w:right="0" w:firstLine="0" w:firstLineChars="0"/>
        <w:jc w:val="center"/>
        <w:textAlignment w:val="auto"/>
        <w:outlineLvl w:val="9"/>
        <w:rPr>
          <w:rFonts w:hint="eastAsia" w:ascii="Times New Roman" w:hAnsi="Times New Roman" w:eastAsia="方正小标宋简体"/>
          <w:sz w:val="44"/>
          <w:szCs w:val="44"/>
          <w:lang w:eastAsia="zh-CN"/>
        </w:rPr>
      </w:pPr>
      <w:bookmarkStart w:id="0" w:name="OLE_LINK1"/>
      <w:r>
        <w:rPr>
          <w:rFonts w:hint="eastAsia" w:ascii="Times New Roman" w:hAnsi="Times New Roman" w:eastAsia="方正小标宋简体"/>
          <w:sz w:val="44"/>
          <w:szCs w:val="44"/>
          <w:lang w:eastAsia="zh-CN"/>
        </w:rPr>
        <w:t>新密市人民政府</w:t>
      </w:r>
    </w:p>
    <w:p>
      <w:pPr>
        <w:widowControl w:val="0"/>
        <w:wordWrap/>
        <w:adjustRightInd/>
        <w:snapToGrid/>
        <w:spacing w:before="0" w:after="0" w:line="600" w:lineRule="exact"/>
        <w:ind w:left="0" w:leftChars="0" w:right="0" w:firstLine="0" w:firstLineChars="0"/>
        <w:jc w:val="center"/>
        <w:textAlignment w:val="auto"/>
        <w:outlineLvl w:val="9"/>
        <w:rPr>
          <w:rFonts w:hint="eastAsia" w:ascii="Times New Roman" w:hAnsi="Times New Roman" w:eastAsia="宋体" w:cs="宋体"/>
          <w:b/>
          <w:bCs/>
          <w:sz w:val="44"/>
          <w:szCs w:val="44"/>
        </w:rPr>
      </w:pPr>
      <w:r>
        <w:rPr>
          <w:rFonts w:hint="eastAsia" w:ascii="Times New Roman" w:hAnsi="Times New Roman" w:eastAsia="方正小标宋简体"/>
          <w:sz w:val="44"/>
          <w:szCs w:val="44"/>
          <w:lang w:eastAsia="zh-CN"/>
        </w:rPr>
        <w:t>新密市曲梁镇高洼村村民委员会征收土地补偿安置方案公告</w:t>
      </w:r>
    </w:p>
    <w:bookmarkEnd w:id="0"/>
    <w:p>
      <w:pPr>
        <w:widowControl w:val="0"/>
        <w:wordWrap/>
        <w:adjustRightInd/>
        <w:snapToGrid/>
        <w:spacing w:line="500" w:lineRule="exact"/>
        <w:ind w:left="0" w:leftChars="0" w:right="0"/>
        <w:jc w:val="center"/>
        <w:textAlignment w:val="auto"/>
        <w:outlineLvl w:val="9"/>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val="0"/>
          <w:bCs w:val="0"/>
          <w:sz w:val="32"/>
          <w:szCs w:val="32"/>
          <w:lang w:val="en-US" w:eastAsia="zh-CN"/>
        </w:rPr>
        <w:t>新密征收告</w:t>
      </w:r>
      <w:r>
        <w:rPr>
          <w:rFonts w:hint="eastAsia" w:ascii="Times New Roman" w:hAnsi="Times New Roman" w:eastAsia="仿宋_GB2312" w:cs="仿宋_GB2312"/>
          <w:b w:val="0"/>
          <w:bCs w:val="0"/>
          <w:snapToGrid w:val="0"/>
          <w:kern w:val="0"/>
          <w:sz w:val="32"/>
          <w:szCs w:val="32"/>
        </w:rPr>
        <w:t>〔</w:t>
      </w:r>
      <w:r>
        <w:rPr>
          <w:rFonts w:hint="eastAsia" w:ascii="Times New Roman" w:hAnsi="Times New Roman" w:eastAsia="仿宋_GB2312" w:cs="仿宋_GB2312"/>
          <w:b w:val="0"/>
          <w:bCs w:val="0"/>
          <w:sz w:val="32"/>
          <w:szCs w:val="32"/>
          <w:lang w:val="en-US" w:eastAsia="zh-CN"/>
        </w:rPr>
        <w:t>2020</w:t>
      </w:r>
      <w:r>
        <w:rPr>
          <w:rFonts w:hint="eastAsia" w:ascii="Times New Roman" w:hAnsi="Times New Roman" w:eastAsia="仿宋_GB2312" w:cs="仿宋_GB2312"/>
          <w:b w:val="0"/>
          <w:bCs w:val="0"/>
          <w:snapToGrid w:val="0"/>
          <w:kern w:val="0"/>
          <w:sz w:val="32"/>
          <w:szCs w:val="32"/>
        </w:rPr>
        <w:t>〕</w:t>
      </w:r>
      <w:r>
        <w:rPr>
          <w:rFonts w:hint="eastAsia" w:eastAsia="仿宋_GB2312" w:cs="仿宋_GB2312"/>
          <w:b w:val="0"/>
          <w:bCs w:val="0"/>
          <w:sz w:val="32"/>
          <w:szCs w:val="32"/>
          <w:lang w:val="en-US" w:eastAsia="zh-CN"/>
        </w:rPr>
        <w:t>28</w:t>
      </w:r>
      <w:r>
        <w:rPr>
          <w:rFonts w:hint="eastAsia" w:ascii="Times New Roman" w:hAnsi="Times New Roman" w:eastAsia="仿宋_GB2312" w:cs="仿宋_GB2312"/>
          <w:b w:val="0"/>
          <w:bCs w:val="0"/>
          <w:sz w:val="32"/>
          <w:szCs w:val="32"/>
          <w:lang w:val="en-US" w:eastAsia="zh-CN"/>
        </w:rPr>
        <w:t>号</w:t>
      </w:r>
    </w:p>
    <w:p>
      <w:pPr>
        <w:widowControl w:val="0"/>
        <w:wordWrap/>
        <w:adjustRightInd/>
        <w:snapToGrid/>
        <w:spacing w:before="0" w:after="0" w:line="300" w:lineRule="exact"/>
        <w:ind w:left="0" w:leftChars="0" w:right="0" w:firstLine="0" w:firstLineChars="0"/>
        <w:jc w:val="center"/>
        <w:textAlignment w:val="auto"/>
        <w:outlineLvl w:val="9"/>
        <w:rPr>
          <w:rFonts w:hint="eastAsia" w:ascii="Times New Roman" w:hAnsi="Times New Roman" w:eastAsia="仿宋" w:cs="仿宋"/>
          <w:b/>
          <w:bCs/>
          <w:sz w:val="32"/>
          <w:szCs w:val="32"/>
          <w:lang w:val="en-US" w:eastAsia="zh-CN"/>
        </w:rPr>
      </w:pPr>
    </w:p>
    <w:p>
      <w:pPr>
        <w:widowControl w:val="0"/>
        <w:wordWrap/>
        <w:adjustRightInd/>
        <w:snapToGrid/>
        <w:spacing w:line="500" w:lineRule="exact"/>
        <w:ind w:left="0" w:leftChars="0" w:right="0" w:firstLine="640" w:firstLineChars="200"/>
        <w:jc w:val="both"/>
        <w:textAlignment w:val="auto"/>
        <w:outlineLvl w:val="9"/>
        <w:rPr>
          <w:rFonts w:hint="eastAsia" w:ascii="Times New Roman" w:hAnsi="Times New Roman" w:eastAsia="仿宋_GB2312" w:cs="Times New Roman"/>
          <w:snapToGrid w:val="0"/>
          <w:kern w:val="0"/>
          <w:sz w:val="32"/>
          <w:szCs w:val="32"/>
          <w:lang w:val="en-US" w:eastAsia="zh-CN"/>
        </w:rPr>
      </w:pPr>
      <w:r>
        <w:rPr>
          <w:rFonts w:hint="eastAsia" w:ascii="Times New Roman" w:hAnsi="Times New Roman" w:eastAsia="仿宋_GB2312" w:cs="仿宋_GB2312"/>
          <w:sz w:val="32"/>
          <w:szCs w:val="32"/>
          <w:lang w:val="en-US" w:eastAsia="zh-CN"/>
        </w:rPr>
        <w:t>根据《中华人民共和国土地管理法》、</w:t>
      </w:r>
      <w:r>
        <w:rPr>
          <w:rFonts w:hint="default" w:ascii="Times New Roman" w:hAnsi="Times New Roman" w:eastAsia="仿宋_GB2312" w:cs="Times New Roman"/>
          <w:snapToGrid w:val="0"/>
          <w:kern w:val="0"/>
          <w:sz w:val="32"/>
          <w:szCs w:val="32"/>
        </w:rPr>
        <w:t>《河南省人民政府关于调整河南省征地区片综合地价</w:t>
      </w:r>
      <w:r>
        <w:rPr>
          <w:rFonts w:hint="eastAsia" w:ascii="Times New Roman" w:hAnsi="Times New Roman" w:eastAsia="仿宋_GB2312" w:cs="Times New Roman"/>
          <w:snapToGrid w:val="0"/>
          <w:kern w:val="0"/>
          <w:sz w:val="32"/>
          <w:szCs w:val="32"/>
          <w:lang w:eastAsia="zh-CN"/>
        </w:rPr>
        <w:t>标准</w:t>
      </w:r>
      <w:r>
        <w:rPr>
          <w:rFonts w:hint="default" w:ascii="Times New Roman" w:hAnsi="Times New Roman" w:eastAsia="仿宋_GB2312" w:cs="Times New Roman"/>
          <w:snapToGrid w:val="0"/>
          <w:kern w:val="0"/>
          <w:sz w:val="32"/>
          <w:szCs w:val="32"/>
        </w:rPr>
        <w:t>的通知》（豫政〔</w:t>
      </w:r>
      <w:r>
        <w:rPr>
          <w:rFonts w:hint="eastAsia" w:ascii="Times New Roman" w:hAnsi="Times New Roman" w:eastAsia="仿宋_GB2312" w:cs="Times New Roman"/>
          <w:snapToGrid w:val="0"/>
          <w:kern w:val="0"/>
          <w:sz w:val="32"/>
          <w:szCs w:val="32"/>
          <w:lang w:eastAsia="zh-CN"/>
        </w:rPr>
        <w:t>201</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48</w:t>
      </w:r>
      <w:r>
        <w:rPr>
          <w:rFonts w:hint="default" w:ascii="Times New Roman" w:hAnsi="Times New Roman" w:eastAsia="仿宋_GB2312" w:cs="Times New Roman"/>
          <w:snapToGrid w:val="0"/>
          <w:kern w:val="0"/>
          <w:sz w:val="32"/>
          <w:szCs w:val="32"/>
        </w:rPr>
        <w:t>号）</w:t>
      </w:r>
      <w:r>
        <w:rPr>
          <w:rFonts w:hint="eastAsia" w:ascii="Times New Roman" w:hAnsi="Times New Roman" w:eastAsia="仿宋_GB2312" w:cs="Times New Roman"/>
          <w:snapToGrid w:val="0"/>
          <w:kern w:val="0"/>
          <w:sz w:val="32"/>
          <w:szCs w:val="32"/>
          <w:lang w:eastAsia="zh-CN"/>
        </w:rPr>
        <w:t>、《河南省人力资源和社会保障厅关于公布</w:t>
      </w:r>
      <w:r>
        <w:rPr>
          <w:rFonts w:hint="eastAsia" w:ascii="Times New Roman" w:hAnsi="Times New Roman" w:eastAsia="仿宋_GB2312" w:cs="Times New Roman"/>
          <w:snapToGrid w:val="0"/>
          <w:kern w:val="0"/>
          <w:sz w:val="32"/>
          <w:szCs w:val="32"/>
          <w:lang w:val="en-US" w:eastAsia="zh-CN"/>
        </w:rPr>
        <w:t>2020年被征地农民社会保障费用最低标准的通知</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（豫人社办</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20</w:t>
      </w:r>
      <w:r>
        <w:rPr>
          <w:rFonts w:hint="eastAsia" w:ascii="Times New Roman" w:hAnsi="Times New Roman" w:eastAsia="仿宋_GB2312" w:cs="Times New Roman"/>
          <w:snapToGrid w:val="0"/>
          <w:kern w:val="0"/>
          <w:sz w:val="32"/>
          <w:szCs w:val="32"/>
          <w:lang w:val="en-US" w:eastAsia="zh-CN"/>
        </w:rPr>
        <w:t>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w:t>
      </w:r>
      <w:r>
        <w:rPr>
          <w:rFonts w:hint="eastAsia" w:ascii="Times New Roman" w:hAnsi="Times New Roman" w:eastAsia="仿宋_GB2312" w:cs="Times New Roman"/>
          <w:snapToGrid w:val="0"/>
          <w:kern w:val="0"/>
          <w:sz w:val="32"/>
          <w:szCs w:val="32"/>
          <w:lang w:val="en-US" w:eastAsia="zh-CN"/>
        </w:rPr>
        <w:t>020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25号）</w:t>
      </w:r>
      <w:r>
        <w:rPr>
          <w:rFonts w:hint="eastAsia" w:ascii="Times New Roman" w:hAnsi="Times New Roman" w:eastAsia="仿宋_GB2312" w:cs="Times New Roman"/>
          <w:snapToGrid w:val="0"/>
          <w:color w:val="auto"/>
          <w:kern w:val="0"/>
          <w:sz w:val="32"/>
          <w:szCs w:val="32"/>
          <w:lang w:val="en-US" w:eastAsia="zh-CN"/>
        </w:rPr>
        <w:t>和《征收土地公告办法》（2010年11月30日国土资源部令第49号修正）</w:t>
      </w:r>
      <w:r>
        <w:rPr>
          <w:rFonts w:hint="eastAsia" w:ascii="Times New Roman" w:hAnsi="Times New Roman" w:eastAsia="仿宋_GB2312" w:cs="Times New Roman"/>
          <w:snapToGrid w:val="0"/>
          <w:kern w:val="0"/>
          <w:sz w:val="32"/>
          <w:szCs w:val="32"/>
          <w:lang w:val="en-US" w:eastAsia="zh-CN"/>
        </w:rPr>
        <w:t>等有关规定</w:t>
      </w:r>
      <w:bookmarkStart w:id="1" w:name="_GoBack"/>
      <w:bookmarkEnd w:id="1"/>
      <w:r>
        <w:rPr>
          <w:rFonts w:hint="eastAsia" w:ascii="Times New Roman" w:hAnsi="Times New Roman" w:eastAsia="仿宋_GB2312" w:cs="Times New Roman"/>
          <w:snapToGrid w:val="0"/>
          <w:kern w:val="0"/>
          <w:sz w:val="32"/>
          <w:szCs w:val="32"/>
          <w:lang w:val="en-US" w:eastAsia="zh-CN"/>
        </w:rPr>
        <w:t>，组织自然资源、财政、社保、农业农村等部门拟定了《新密市曲梁镇高洼村村民委员会征收土地补偿安置方案》，现公告如下：</w:t>
      </w:r>
    </w:p>
    <w:p>
      <w:pPr>
        <w:widowControl w:val="0"/>
        <w:numPr>
          <w:numId w:val="0"/>
        </w:numPr>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一、被征收土地的权属、面积、位置和用途</w:t>
      </w:r>
    </w:p>
    <w:tbl>
      <w:tblPr>
        <w:tblpPr w:leftFromText="180" w:rightFromText="180" w:vertAnchor="text" w:horzAnchor="page" w:tblpXSpec="center" w:tblpY="38"/>
        <w:tblOverlap w:val="never"/>
        <w:tblW w:w="13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1"/>
        <w:gridCol w:w="2446"/>
        <w:gridCol w:w="6518"/>
        <w:gridCol w:w="2095"/>
      </w:tblGrid>
      <w:tr>
        <w:trPr>
          <w:trHeight w:val="312" w:hRule="atLeast"/>
          <w:jc w:val="center"/>
        </w:trPr>
        <w:tc>
          <w:tcPr>
            <w:tcW w:w="2681" w:type="dxa"/>
            <w:vMerge w:val="restart"/>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val="en-US" w:eastAsia="zh-CN"/>
              </w:rPr>
              <w:t>权属</w:t>
            </w:r>
          </w:p>
        </w:tc>
        <w:tc>
          <w:tcPr>
            <w:tcW w:w="2446" w:type="dxa"/>
            <w:vMerge w:val="restart"/>
            <w:tcBorders>
              <w:left w:val="single" w:color="auto" w:sz="4" w:space="0"/>
              <w:right w:val="single" w:color="auto" w:sz="4" w:space="0"/>
            </w:tcBorders>
            <w:vAlign w:val="center"/>
          </w:tcPr>
          <w:p>
            <w:pPr>
              <w:widowControl w:val="0"/>
              <w:tabs>
                <w:tab w:val="left" w:pos="248"/>
              </w:tabs>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总面积（公顷）</w:t>
            </w:r>
          </w:p>
        </w:tc>
        <w:tc>
          <w:tcPr>
            <w:tcW w:w="6518" w:type="dxa"/>
            <w:vMerge w:val="restart"/>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位置</w:t>
            </w:r>
          </w:p>
        </w:tc>
        <w:tc>
          <w:tcPr>
            <w:tcW w:w="2095" w:type="dxa"/>
            <w:vMerge w:val="restart"/>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用途</w:t>
            </w:r>
          </w:p>
        </w:tc>
      </w:tr>
      <w:tr>
        <w:trPr>
          <w:trHeight w:val="349" w:hRule="atLeast"/>
          <w:jc w:val="center"/>
        </w:trPr>
        <w:tc>
          <w:tcPr>
            <w:tcW w:w="2681"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2446"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6518" w:type="dxa"/>
            <w:vMerge w:val="continue"/>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095" w:type="dxa"/>
            <w:vMerge w:val="continue"/>
            <w:tcBorders>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312" w:hRule="exact"/>
          <w:jc w:val="center"/>
        </w:trPr>
        <w:tc>
          <w:tcPr>
            <w:tcW w:w="2681"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2446"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p>
        </w:tc>
        <w:tc>
          <w:tcPr>
            <w:tcW w:w="6518"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1385" w:hRule="exact"/>
          <w:jc w:val="center"/>
        </w:trPr>
        <w:tc>
          <w:tcPr>
            <w:tcW w:w="2681" w:type="dxa"/>
            <w:tcBorders>
              <w:top w:val="single" w:color="auto" w:sz="4" w:space="0"/>
              <w:left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曲梁镇高洼村</w:t>
            </w:r>
          </w:p>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eastAsia="zh-CN"/>
              </w:rPr>
              <w:t>村民委员会</w:t>
            </w:r>
          </w:p>
        </w:tc>
        <w:tc>
          <w:tcPr>
            <w:tcW w:w="244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宋体" w:cs="宋体"/>
                <w:sz w:val="21"/>
                <w:szCs w:val="21"/>
                <w:lang w:val="en-US" w:eastAsia="zh-CN"/>
              </w:rPr>
              <w:t>0.8702</w:t>
            </w:r>
          </w:p>
        </w:tc>
        <w:tc>
          <w:tcPr>
            <w:tcW w:w="651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both"/>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位于高洼村五组和高洼村一组承包地以东、高洼村五组和六组承包地以南、高洼村五组和六组承包地以西、高洼村五组和高洼村一组及坡刘村九组承包地以北</w:t>
            </w:r>
          </w:p>
        </w:tc>
        <w:tc>
          <w:tcPr>
            <w:tcW w:w="20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物流仓储</w:t>
            </w:r>
          </w:p>
        </w:tc>
      </w:tr>
    </w:tbl>
    <w:p>
      <w:pPr>
        <w:widowControl w:val="0"/>
        <w:numPr>
          <w:numId w:val="0"/>
        </w:numPr>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二、征地补偿费用标准</w:t>
      </w:r>
    </w:p>
    <w:tbl>
      <w:tblPr>
        <w:tblpPr w:leftFromText="180" w:rightFromText="180" w:vertAnchor="text" w:horzAnchor="page" w:tblpXSpec="center" w:tblpY="222"/>
        <w:tblOverlap w:val="never"/>
        <w:tblW w:w="13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7"/>
        <w:gridCol w:w="4"/>
        <w:gridCol w:w="1715"/>
        <w:gridCol w:w="4"/>
        <w:gridCol w:w="1700"/>
        <w:gridCol w:w="4"/>
        <w:gridCol w:w="2193"/>
        <w:gridCol w:w="4"/>
        <w:gridCol w:w="2119"/>
        <w:gridCol w:w="4"/>
        <w:gridCol w:w="2672"/>
        <w:gridCol w:w="4"/>
      </w:tblGrid>
      <w:tr>
        <w:trPr>
          <w:trHeight w:val="366" w:hRule="atLeast"/>
          <w:jc w:val="center"/>
        </w:trPr>
        <w:tc>
          <w:tcPr>
            <w:tcW w:w="3341"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ascii="Times New Roman" w:hAnsi="Times New Roman"/>
                <w:sz w:val="21"/>
                <w:szCs w:val="21"/>
              </w:rPr>
            </w:pPr>
            <w:r>
              <w:rPr>
                <w:rFonts w:hint="eastAsia" w:ascii="Times New Roman" w:hAnsi="Times New Roman" w:eastAsia="黑体" w:cs="黑体"/>
                <w:sz w:val="21"/>
                <w:szCs w:val="21"/>
                <w:lang w:val="en-US" w:eastAsia="zh-CN"/>
              </w:rPr>
              <w:t>被征地单位</w:t>
            </w:r>
          </w:p>
        </w:tc>
        <w:tc>
          <w:tcPr>
            <w:tcW w:w="1719"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地类名称</w:t>
            </w:r>
          </w:p>
        </w:tc>
        <w:tc>
          <w:tcPr>
            <w:tcW w:w="1704"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面积</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eastAsia="zh-CN"/>
              </w:rPr>
              <w:t>（公顷）</w:t>
            </w:r>
          </w:p>
        </w:tc>
        <w:tc>
          <w:tcPr>
            <w:tcW w:w="4320" w:type="dxa"/>
            <w:gridSpan w:val="4"/>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征地区片综合地价</w:t>
            </w:r>
          </w:p>
        </w:tc>
        <w:tc>
          <w:tcPr>
            <w:tcW w:w="2676" w:type="dxa"/>
            <w:gridSpan w:val="2"/>
            <w:vMerge w:val="restart"/>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青苗补偿费</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r>
      <w:tr>
        <w:trPr>
          <w:trHeight w:val="716" w:hRule="atLeast"/>
          <w:jc w:val="center"/>
        </w:trPr>
        <w:tc>
          <w:tcPr>
            <w:tcW w:w="3341"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ascii="Times New Roman" w:hAnsi="Times New Roman"/>
                <w:sz w:val="21"/>
                <w:szCs w:val="21"/>
              </w:rPr>
            </w:pPr>
          </w:p>
        </w:tc>
        <w:tc>
          <w:tcPr>
            <w:tcW w:w="1719"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ascii="Times New Roman" w:hAnsi="Times New Roman"/>
                <w:sz w:val="21"/>
                <w:szCs w:val="21"/>
              </w:rPr>
            </w:pPr>
          </w:p>
        </w:tc>
        <w:tc>
          <w:tcPr>
            <w:tcW w:w="1704"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c>
          <w:tcPr>
            <w:tcW w:w="2197" w:type="dxa"/>
            <w:gridSpan w:val="2"/>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2123" w:type="dxa"/>
            <w:gridSpan w:val="2"/>
            <w:tcBorders>
              <w:left w:val="single" w:color="auto" w:sz="4" w:space="0"/>
              <w:bottom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社保费用</w:t>
            </w:r>
          </w:p>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（万元/公顷）</w:t>
            </w:r>
          </w:p>
        </w:tc>
        <w:tc>
          <w:tcPr>
            <w:tcW w:w="2676" w:type="dxa"/>
            <w:gridSpan w:val="2"/>
            <w:vMerge w:val="continue"/>
            <w:tcBorders>
              <w:left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p>
        </w:tc>
      </w:tr>
      <w:tr>
        <w:trPr>
          <w:trHeight w:val="408" w:hRule="atLeast"/>
          <w:jc w:val="center"/>
        </w:trPr>
        <w:tc>
          <w:tcPr>
            <w:tcW w:w="3341"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曲梁镇高洼村村民委员会</w:t>
            </w:r>
          </w:p>
        </w:tc>
        <w:tc>
          <w:tcPr>
            <w:tcW w:w="171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水浇地</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0.8424</w:t>
            </w:r>
          </w:p>
        </w:tc>
        <w:tc>
          <w:tcPr>
            <w:tcW w:w="2197"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84.0000</w:t>
            </w:r>
          </w:p>
        </w:tc>
        <w:tc>
          <w:tcPr>
            <w:tcW w:w="2123"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黑体" w:cs="黑体"/>
                <w:sz w:val="21"/>
                <w:szCs w:val="21"/>
                <w:lang w:val="en-US" w:eastAsia="zh-CN"/>
              </w:rPr>
              <w:t>87.3000</w:t>
            </w:r>
          </w:p>
        </w:tc>
        <w:tc>
          <w:tcPr>
            <w:tcW w:w="2676"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黑体" w:cs="黑体"/>
                <w:sz w:val="21"/>
                <w:szCs w:val="21"/>
                <w:lang w:val="en-US" w:eastAsia="zh-CN"/>
              </w:rPr>
            </w:pPr>
            <w:r>
              <w:rPr>
                <w:rFonts w:hint="eastAsia" w:ascii="Times New Roman" w:hAnsi="Times New Roman" w:eastAsia="宋体" w:cs="宋体"/>
                <w:sz w:val="21"/>
                <w:szCs w:val="21"/>
                <w:lang w:val="en-US" w:eastAsia="zh-CN"/>
              </w:rPr>
              <w:t>2.2500</w:t>
            </w:r>
          </w:p>
        </w:tc>
      </w:tr>
      <w:tr>
        <w:trPr>
          <w:trHeight w:val="408" w:hRule="atLeast"/>
          <w:jc w:val="center"/>
        </w:trPr>
        <w:tc>
          <w:tcPr>
            <w:tcW w:w="3341" w:type="dxa"/>
            <w:gridSpan w:val="2"/>
            <w:vMerge w:val="continue"/>
            <w:tcBorders>
              <w:left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171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黑体" w:cs="黑体"/>
                <w:sz w:val="21"/>
                <w:szCs w:val="21"/>
                <w:lang w:val="en-US" w:eastAsia="zh-CN"/>
              </w:rPr>
              <w:t>农村道路</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0.0278</w:t>
            </w:r>
          </w:p>
        </w:tc>
        <w:tc>
          <w:tcPr>
            <w:tcW w:w="2197" w:type="dxa"/>
            <w:gridSpan w:val="2"/>
            <w:vMerge w:val="continue"/>
            <w:tcBorders>
              <w:left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2123" w:type="dxa"/>
            <w:gridSpan w:val="2"/>
            <w:vMerge w:val="continue"/>
            <w:tcBorders>
              <w:left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p>
        </w:tc>
        <w:tc>
          <w:tcPr>
            <w:tcW w:w="2676"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w:t>
            </w:r>
          </w:p>
        </w:tc>
      </w:tr>
      <w:tr>
        <w:trPr>
          <w:gridAfter w:val="1"/>
          <w:wAfter w:w="4" w:type="dxa"/>
          <w:trHeight w:val="617" w:hRule="atLeast"/>
          <w:jc w:val="center"/>
        </w:trPr>
        <w:tc>
          <w:tcPr>
            <w:tcW w:w="333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cs="宋体"/>
                <w:sz w:val="21"/>
                <w:szCs w:val="21"/>
                <w:lang w:val="en-US" w:eastAsia="zh-CN"/>
              </w:rPr>
              <w:t>合计</w:t>
            </w:r>
          </w:p>
        </w:tc>
        <w:tc>
          <w:tcPr>
            <w:tcW w:w="1719"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0.8702</w:t>
            </w:r>
          </w:p>
        </w:tc>
        <w:tc>
          <w:tcPr>
            <w:tcW w:w="2197"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w:t>
            </w:r>
          </w:p>
        </w:tc>
        <w:tc>
          <w:tcPr>
            <w:tcW w:w="2123"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w:t>
            </w:r>
          </w:p>
        </w:tc>
        <w:tc>
          <w:tcPr>
            <w:tcW w:w="2676"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00" w:lineRule="exact"/>
              <w:ind w:left="0" w:leftChars="0" w:right="0" w:firstLine="0" w:firstLineChars="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w:t>
            </w:r>
          </w:p>
        </w:tc>
      </w:tr>
    </w:tbl>
    <w:p>
      <w:pPr>
        <w:widowControl w:val="0"/>
        <w:numPr>
          <w:numId w:val="0"/>
        </w:numPr>
        <w:wordWrap/>
        <w:adjustRightInd/>
        <w:snapToGrid/>
        <w:spacing w:before="0" w:after="0" w:line="320" w:lineRule="exact"/>
        <w:ind w:left="0" w:leftChars="0" w:right="0" w:firstLine="640" w:firstLineChars="200"/>
        <w:jc w:val="both"/>
        <w:textAlignment w:val="auto"/>
        <w:outlineLvl w:val="9"/>
        <w:rPr>
          <w:rFonts w:hint="eastAsia" w:ascii="Times New Roman" w:hAnsi="Times New Roman" w:eastAsia="黑体" w:cs="黑体"/>
          <w:b/>
          <w:bCs/>
          <w:sz w:val="32"/>
          <w:szCs w:val="32"/>
          <w:lang w:val="en-US" w:eastAsia="zh-CN"/>
        </w:rPr>
      </w:pPr>
    </w:p>
    <w:p>
      <w:pPr>
        <w:widowControl w:val="0"/>
        <w:numPr>
          <w:numId w:val="0"/>
        </w:numPr>
        <w:wordWrap/>
        <w:adjustRightInd/>
        <w:snapToGrid/>
        <w:spacing w:before="0" w:after="0" w:line="320" w:lineRule="exact"/>
        <w:ind w:left="0" w:leftChars="0" w:right="0" w:firstLine="640" w:firstLineChars="200"/>
        <w:jc w:val="both"/>
        <w:textAlignment w:val="auto"/>
        <w:outlineLvl w:val="9"/>
        <w:rPr>
          <w:rFonts w:hint="default"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三、征地补偿费用</w:t>
      </w:r>
    </w:p>
    <w:tbl>
      <w:tblPr>
        <w:tblpPr w:leftFromText="180" w:rightFromText="180" w:vertAnchor="text" w:horzAnchor="page" w:tblpXSpec="center" w:tblpY="500"/>
        <w:tblOverlap w:val="never"/>
        <w:tblW w:w="13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1620"/>
        <w:gridCol w:w="1665"/>
        <w:gridCol w:w="1710"/>
        <w:gridCol w:w="3990"/>
        <w:gridCol w:w="1980"/>
      </w:tblGrid>
      <w:tr>
        <w:trPr>
          <w:trHeight w:val="419" w:hRule="atLeast"/>
          <w:jc w:val="center"/>
        </w:trPr>
        <w:tc>
          <w:tcPr>
            <w:tcW w:w="28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被征地单位</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lang w:eastAsia="zh-CN"/>
              </w:rPr>
            </w:pPr>
            <w:r>
              <w:rPr>
                <w:rFonts w:hint="eastAsia" w:ascii="Times New Roman" w:hAnsi="Times New Roman" w:eastAsia="黑体" w:cs="黑体"/>
                <w:sz w:val="21"/>
                <w:szCs w:val="21"/>
                <w:lang w:eastAsia="zh-CN"/>
              </w:rPr>
              <w:t>补偿安置费用</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社保费</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lang w:val="en-US" w:eastAsia="zh-CN"/>
              </w:rPr>
              <w:t>青苗补偿费</w:t>
            </w:r>
          </w:p>
        </w:tc>
        <w:tc>
          <w:tcPr>
            <w:tcW w:w="39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附着物补偿费</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黑体" w:cs="黑体"/>
                <w:sz w:val="21"/>
                <w:szCs w:val="21"/>
              </w:rPr>
            </w:pPr>
            <w:r>
              <w:rPr>
                <w:rFonts w:hint="eastAsia" w:ascii="Times New Roman" w:hAnsi="Times New Roman" w:eastAsia="黑体" w:cs="黑体"/>
                <w:sz w:val="21"/>
                <w:szCs w:val="21"/>
              </w:rPr>
              <w:t>合计</w:t>
            </w:r>
          </w:p>
        </w:tc>
      </w:tr>
      <w:tr>
        <w:trPr>
          <w:trHeight w:val="400" w:hRule="atLeast"/>
          <w:jc w:val="center"/>
        </w:trPr>
        <w:tc>
          <w:tcPr>
            <w:tcW w:w="28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Times New Roman" w:hAnsi="Times New Roman" w:eastAsia="黑体" w:cs="黑体"/>
                <w:sz w:val="21"/>
                <w:szCs w:val="21"/>
                <w:lang w:eastAsia="zh-CN"/>
              </w:rPr>
              <w:t>曲梁镇高洼村村民委员会</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560" w:lineRule="exact"/>
              <w:ind w:right="0"/>
              <w:jc w:val="center"/>
              <w:textAlignment w:val="auto"/>
              <w:outlineLvl w:val="9"/>
              <w:rPr>
                <w:rFonts w:hint="eastAsia" w:ascii="Times New Roman" w:hAnsi="Times New Roman" w:cs="宋体"/>
                <w:sz w:val="21"/>
                <w:szCs w:val="21"/>
                <w:lang w:val="en-US" w:eastAsia="zh-CN"/>
              </w:rPr>
            </w:pPr>
            <w:r>
              <w:rPr>
                <w:rFonts w:hint="eastAsia" w:ascii="Times New Roman" w:hAnsi="Times New Roman" w:eastAsia="宋体" w:cs="宋体"/>
                <w:sz w:val="21"/>
                <w:szCs w:val="21"/>
                <w:lang w:val="en-US" w:eastAsia="zh-CN"/>
              </w:rPr>
              <w:t>73.0968</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560" w:lineRule="exact"/>
              <w:ind w:right="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75.9685</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1.8954</w:t>
            </w:r>
          </w:p>
        </w:tc>
        <w:tc>
          <w:tcPr>
            <w:tcW w:w="39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cs="宋体"/>
                <w:sz w:val="21"/>
                <w:szCs w:val="21"/>
                <w:lang w:val="en-US" w:eastAsia="zh-CN"/>
              </w:rPr>
              <w:t>按照郑政文（2020）25号文件，据实补偿。</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150.9607</w:t>
            </w:r>
          </w:p>
        </w:tc>
      </w:tr>
    </w:tbl>
    <w:p>
      <w:pPr>
        <w:widowControl w:val="0"/>
        <w:wordWrap/>
        <w:adjustRightInd/>
        <w:snapToGrid/>
        <w:spacing w:line="360" w:lineRule="exact"/>
        <w:ind w:left="0" w:leftChars="0" w:right="0"/>
        <w:jc w:val="center"/>
        <w:textAlignment w:val="auto"/>
        <w:outlineLvl w:val="9"/>
        <w:rPr>
          <w:rFonts w:hint="eastAsia" w:ascii="Times New Roman" w:hAnsi="Times New Roman" w:eastAsia="黑体" w:cs="黑体"/>
          <w:b w:val="0"/>
          <w:bCs w:val="0"/>
          <w:sz w:val="32"/>
          <w:lang w:val="en-US" w:eastAsia="zh-CN"/>
        </w:rPr>
      </w:pPr>
      <w:r>
        <w:rPr>
          <w:rFonts w:hint="eastAsia" w:ascii="Times New Roman" w:hAnsi="Times New Roman" w:eastAsia="黑体" w:cs="黑体"/>
          <w:sz w:val="21"/>
          <w:szCs w:val="21"/>
          <w:lang w:val="en-US" w:eastAsia="zh-CN"/>
        </w:rPr>
        <w:t xml:space="preserve">                                                                                                          </w:t>
      </w:r>
      <w:r>
        <w:rPr>
          <w:rFonts w:hint="default" w:ascii="Times New Roman" w:hAnsi="Times New Roman" w:eastAsia="黑体" w:cs="黑体"/>
          <w:sz w:val="21"/>
          <w:szCs w:val="21"/>
        </w:rPr>
        <w:t>单位：万元</w:t>
      </w:r>
    </w:p>
    <w:p>
      <w:pPr>
        <w:widowControl w:val="0"/>
        <w:numPr>
          <w:numId w:val="0"/>
        </w:numPr>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黑体" w:cs="黑体"/>
          <w:b w:val="0"/>
          <w:bCs w:val="0"/>
          <w:sz w:val="32"/>
          <w:szCs w:val="32"/>
          <w:lang w:val="en-US" w:eastAsia="zh-CN"/>
        </w:rPr>
      </w:pPr>
      <w:r>
        <w:rPr>
          <w:rFonts w:hint="eastAsia" w:ascii="Times New Roman" w:hAnsi="Times New Roman" w:eastAsia="黑体" w:cs="黑体"/>
          <w:b w:val="0"/>
          <w:bCs w:val="0"/>
          <w:sz w:val="32"/>
          <w:szCs w:val="32"/>
          <w:lang w:val="en-US" w:eastAsia="zh-CN"/>
        </w:rPr>
        <w:t>四、置途径及支付方式</w:t>
      </w:r>
    </w:p>
    <w:p>
      <w:pPr>
        <w:widowControl w:val="0"/>
        <w:numPr>
          <w:numId w:val="0"/>
        </w:numPr>
        <w:wordWrap/>
        <w:adjustRightInd/>
        <w:snapToGrid/>
        <w:spacing w:before="0" w:after="0" w:line="46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曲梁镇高洼村村民委员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before="0" w:after="0" w:line="46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黑体" w:cs="黑体"/>
          <w:b w:val="0"/>
          <w:bCs w:val="0"/>
          <w:sz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before="0" w:after="0" w:line="46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黑体" w:cs="黑体"/>
          <w:b w:val="0"/>
          <w:bCs w:val="0"/>
          <w:sz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before="0" w:after="0" w:line="460" w:lineRule="exact"/>
        <w:ind w:left="0" w:leftChars="0" w:right="0" w:firstLine="643" w:firstLineChars="200"/>
        <w:jc w:val="both"/>
        <w:textAlignment w:val="auto"/>
        <w:outlineLvl w:val="9"/>
        <w:rPr>
          <w:rFonts w:hint="eastAsia" w:ascii="Times New Roman" w:hAnsi="Times New Roman" w:eastAsia="仿宋" w:cs="仿宋"/>
          <w:sz w:val="32"/>
          <w:szCs w:val="32"/>
          <w:lang w:val="en-US" w:eastAsia="zh-CN"/>
        </w:rPr>
      </w:pPr>
      <w:r>
        <w:rPr>
          <w:rFonts w:hint="eastAsia" w:ascii="Times New Roman" w:hAnsi="Times New Roman" w:eastAsia="黑体" w:cs="黑体"/>
          <w:b w:val="0"/>
          <w:bCs w:val="0"/>
          <w:sz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60" w:lineRule="exact"/>
        <w:ind w:left="0" w:leftChars="0" w:right="0" w:firstLine="640" w:firstLineChars="200"/>
        <w:jc w:val="both"/>
        <w:textAlignment w:val="auto"/>
        <w:outlineLvl w:val="9"/>
        <w:rPr>
          <w:rFonts w:hint="eastAsia" w:ascii="Times New Roman" w:hAnsi="Times New Roman" w:eastAsia="仿宋" w:cs="仿宋"/>
          <w:sz w:val="32"/>
          <w:szCs w:val="32"/>
        </w:rPr>
      </w:pPr>
      <w:r>
        <w:rPr>
          <w:rFonts w:hint="eastAsia" w:ascii="Times New Roman" w:hAnsi="Times New Roman" w:eastAsia="仿宋_GB2312" w:cs="Times New Roman"/>
          <w:sz w:val="32"/>
          <w:lang w:val="en-US" w:eastAsia="zh-CN"/>
        </w:rPr>
        <w:t>特此公告。</w:t>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ab/>
      </w:r>
      <w:r>
        <w:rPr>
          <w:rFonts w:hint="eastAsia" w:ascii="Times New Roman" w:hAnsi="Times New Roman" w:eastAsia="仿宋" w:cs="仿宋"/>
          <w:sz w:val="36"/>
          <w:szCs w:val="36"/>
        </w:rPr>
        <w:t xml:space="preserve">    </w:t>
      </w:r>
      <w:r>
        <w:rPr>
          <w:rFonts w:hint="eastAsia" w:ascii="Times New Roman" w:hAnsi="Times New Roman" w:eastAsia="仿宋" w:cs="仿宋"/>
          <w:sz w:val="32"/>
          <w:szCs w:val="32"/>
        </w:rPr>
        <w:t xml:space="preserve">    </w:t>
      </w:r>
    </w:p>
    <w:p>
      <w:pPr>
        <w:widowControl w:val="0"/>
        <w:wordWrap/>
        <w:adjustRightInd/>
        <w:snapToGrid/>
        <w:spacing w:before="0" w:after="0" w:line="400" w:lineRule="exact"/>
        <w:ind w:left="0" w:leftChars="0" w:right="0" w:firstLine="0" w:firstLineChars="0"/>
        <w:jc w:val="both"/>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 xml:space="preserve">                         </w:t>
      </w:r>
    </w:p>
    <w:p>
      <w:pPr>
        <w:widowControl w:val="0"/>
        <w:wordWrap/>
        <w:adjustRightInd/>
        <w:snapToGrid/>
        <w:spacing w:before="0" w:after="0" w:line="400" w:lineRule="exact"/>
        <w:ind w:left="0" w:leftChars="0" w:right="0" w:firstLine="0" w:firstLineChars="0"/>
        <w:jc w:val="both"/>
        <w:textAlignment w:val="auto"/>
        <w:outlineLvl w:val="9"/>
        <w:rPr>
          <w:rFonts w:hint="eastAsia" w:ascii="Times New Roman" w:hAnsi="Times New Roman" w:eastAsia="仿宋" w:cs="仿宋"/>
          <w:sz w:val="32"/>
          <w:szCs w:val="32"/>
        </w:rPr>
      </w:pPr>
    </w:p>
    <w:p>
      <w:pPr>
        <w:widowControl w:val="0"/>
        <w:wordWrap/>
        <w:adjustRightInd/>
        <w:snapToGrid/>
        <w:spacing w:before="0" w:after="0" w:line="400" w:lineRule="exact"/>
        <w:ind w:left="0" w:leftChars="0" w:right="0" w:firstLine="0" w:firstLineChars="0"/>
        <w:jc w:val="both"/>
        <w:textAlignment w:val="auto"/>
        <w:outlineLvl w:val="9"/>
        <w:rPr>
          <w:rFonts w:hint="eastAsia" w:ascii="Times New Roman" w:hAnsi="Times New Roman" w:eastAsia="仿宋" w:cs="仿宋"/>
          <w:sz w:val="32"/>
          <w:szCs w:val="32"/>
        </w:rPr>
      </w:pPr>
    </w:p>
    <w:p>
      <w:pPr>
        <w:widowControl w:val="0"/>
        <w:wordWrap w:val="0"/>
        <w:adjustRightInd/>
        <w:snapToGrid/>
        <w:spacing w:line="500" w:lineRule="exact"/>
        <w:ind w:left="0" w:leftChars="0" w:right="0"/>
        <w:jc w:val="right"/>
        <w:textAlignment w:val="auto"/>
        <w:outlineLvl w:val="9"/>
        <w:rPr>
          <w:rFonts w:hint="eastAsia" w:ascii="Times New Roman" w:hAnsi="Times New Roman"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_GB2312" w:cs="Times New Roman"/>
          <w:sz w:val="32"/>
          <w:lang w:val="en-US" w:eastAsia="zh-CN"/>
        </w:rPr>
        <w:t>2020年</w:t>
      </w:r>
      <w:r>
        <w:rPr>
          <w:rFonts w:hint="eastAsia" w:eastAsia="仿宋_GB2312" w:cs="Times New Roman"/>
          <w:sz w:val="32"/>
          <w:lang w:val="en-US" w:eastAsia="zh-CN"/>
        </w:rPr>
        <w:t>9</w:t>
      </w:r>
      <w:r>
        <w:rPr>
          <w:rFonts w:hint="eastAsia" w:ascii="Times New Roman" w:hAnsi="Times New Roman" w:eastAsia="仿宋_GB2312" w:cs="Times New Roman"/>
          <w:sz w:val="32"/>
          <w:lang w:val="en-US" w:eastAsia="zh-CN"/>
        </w:rPr>
        <w:t>月</w:t>
      </w:r>
      <w:r>
        <w:rPr>
          <w:rFonts w:hint="eastAsia" w:eastAsia="仿宋_GB2312" w:cs="Times New Roman"/>
          <w:sz w:val="32"/>
          <w:lang w:val="en-US" w:eastAsia="zh-CN"/>
        </w:rPr>
        <w:t>18</w:t>
      </w:r>
      <w:r>
        <w:rPr>
          <w:rFonts w:hint="eastAsia" w:ascii="Times New Roman" w:hAnsi="Times New Roman" w:eastAsia="仿宋_GB2312" w:cs="Times New Roman"/>
          <w:sz w:val="32"/>
          <w:lang w:val="en-US" w:eastAsia="zh-CN"/>
        </w:rPr>
        <w:t xml:space="preserve">日        </w:t>
      </w:r>
    </w:p>
    <w:sectPr>
      <w:headerReference r:id="rId6" w:type="first"/>
      <w:footerReference r:id="rId9" w:type="first"/>
      <w:headerReference r:id="rId4" w:type="default"/>
      <w:footerReference r:id="rId7" w:type="default"/>
      <w:headerReference r:id="rId5" w:type="even"/>
      <w:footerReference r:id="rId8" w:type="even"/>
      <w:pgSz w:w="16781" w:h="23760"/>
      <w:pgMar w:top="1531" w:right="1474" w:bottom="1417" w:left="1588" w:header="851" w:footer="992" w:gutter="0"/>
      <w:cols w:space="72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i">
    <w:altName w:val="Segoe Print"/>
    <w:panose1 w:val="00000000000000000000"/>
    <w:charset w:val="00"/>
    <w:family w:val="auto"/>
    <w:pitch w:val="default"/>
    <w:sig w:usb0="00000000" w:usb1="00000000" w:usb2="00000000" w:usb3="00000000" w:csb0="00040001" w:csb1="00000000"/>
  </w:font>
  <w:font w:name="Tim">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Administrator</cp:lastModifiedBy>
  <cp:lastPrinted>2020-09-18T01:56:15Z</cp:lastPrinted>
  <dcterms:modified xsi:type="dcterms:W3CDTF">2020-09-18T01:57:25Z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